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43" w:rsidRDefault="00E905C1">
      <w:pPr>
        <w:spacing w:line="240" w:lineRule="auto"/>
        <w:jc w:val="center"/>
        <w:rPr>
          <w:b/>
          <w:sz w:val="28"/>
          <w:szCs w:val="2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5080</wp:posOffset>
            </wp:positionV>
            <wp:extent cx="1150250" cy="833932"/>
            <wp:effectExtent l="0" t="0" r="0" b="0"/>
            <wp:wrapNone/>
            <wp:docPr id="202" name="image2.png" descr="https://www.ri5.co.uk/mediafiles/3030.png"/>
            <wp:cNvGraphicFramePr/>
            <a:graphic xmlns:a="http://schemas.openxmlformats.org/drawingml/2006/main">
              <a:graphicData uri="http://schemas.openxmlformats.org/drawingml/2006/picture">
                <pic:pic xmlns:pic="http://schemas.openxmlformats.org/drawingml/2006/picture">
                  <pic:nvPicPr>
                    <pic:cNvPr id="0" name="image2.png" descr="https://www.ri5.co.uk/mediafiles/3030.png"/>
                    <pic:cNvPicPr preferRelativeResize="0"/>
                  </pic:nvPicPr>
                  <pic:blipFill>
                    <a:blip r:embed="rId7"/>
                    <a:srcRect/>
                    <a:stretch>
                      <a:fillRect/>
                    </a:stretch>
                  </pic:blipFill>
                  <pic:spPr>
                    <a:xfrm>
                      <a:off x="0" y="0"/>
                      <a:ext cx="1150250" cy="833932"/>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355600</wp:posOffset>
                </wp:positionH>
                <wp:positionV relativeFrom="paragraph">
                  <wp:posOffset>45720</wp:posOffset>
                </wp:positionV>
                <wp:extent cx="852170" cy="302895"/>
                <wp:effectExtent l="0" t="0" r="0" b="0"/>
                <wp:wrapNone/>
                <wp:docPr id="200" name="Rectangle 200"/>
                <wp:cNvGraphicFramePr/>
                <a:graphic xmlns:a="http://schemas.openxmlformats.org/drawingml/2006/main">
                  <a:graphicData uri="http://schemas.microsoft.com/office/word/2010/wordprocessingShape">
                    <wps:wsp>
                      <wps:cNvSpPr/>
                      <wps:spPr>
                        <a:xfrm>
                          <a:off x="4924678" y="3633315"/>
                          <a:ext cx="842645" cy="293370"/>
                        </a:xfrm>
                        <a:prstGeom prst="rect">
                          <a:avLst/>
                        </a:prstGeom>
                        <a:noFill/>
                        <a:ln>
                          <a:noFill/>
                        </a:ln>
                      </wps:spPr>
                      <wps:txbx>
                        <w:txbxContent>
                          <w:p w:rsidR="00DE2E43" w:rsidRDefault="00E905C1">
                            <w:pPr>
                              <w:spacing w:line="275" w:lineRule="auto"/>
                              <w:textDirection w:val="btLr"/>
                            </w:pPr>
                            <w:r>
                              <w:rPr>
                                <w:sz w:val="18"/>
                              </w:rPr>
                              <w:t>Funded by: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45720</wp:posOffset>
                </wp:positionV>
                <wp:extent cx="852170" cy="302895"/>
                <wp:effectExtent b="0" l="0" r="0" t="0"/>
                <wp:wrapNone/>
                <wp:docPr id="20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852170" cy="302895"/>
                        </a:xfrm>
                        <a:prstGeom prst="rect"/>
                        <a:ln/>
                      </pic:spPr>
                    </pic:pic>
                  </a:graphicData>
                </a:graphic>
              </wp:anchor>
            </w:drawing>
          </mc:Fallback>
        </mc:AlternateContent>
      </w:r>
    </w:p>
    <w:p w:rsidR="00DE2E43" w:rsidRDefault="00DE2E43">
      <w:pPr>
        <w:spacing w:line="240" w:lineRule="auto"/>
        <w:jc w:val="center"/>
        <w:rPr>
          <w:b/>
          <w:sz w:val="28"/>
          <w:szCs w:val="28"/>
        </w:rPr>
      </w:pPr>
    </w:p>
    <w:p w:rsidR="00DE2E43" w:rsidRDefault="00DE2E43">
      <w:pPr>
        <w:spacing w:line="240" w:lineRule="auto"/>
        <w:jc w:val="center"/>
        <w:rPr>
          <w:b/>
          <w:sz w:val="28"/>
          <w:szCs w:val="28"/>
        </w:rPr>
      </w:pPr>
    </w:p>
    <w:p w:rsidR="00DE2E43" w:rsidRDefault="00E905C1">
      <w:pPr>
        <w:spacing w:line="240" w:lineRule="auto"/>
        <w:jc w:val="right"/>
        <w:rPr>
          <w:b/>
          <w:color w:val="2B8389"/>
        </w:rPr>
      </w:pPr>
      <w:r>
        <w:rPr>
          <w:b/>
          <w:color w:val="2B8389"/>
          <w:sz w:val="38"/>
          <w:szCs w:val="38"/>
        </w:rPr>
        <w:t xml:space="preserve">In Safe Hands </w:t>
      </w:r>
      <w:r>
        <w:rPr>
          <w:b/>
          <w:color w:val="2B8389"/>
          <w:sz w:val="38"/>
          <w:szCs w:val="38"/>
        </w:rPr>
        <w:br/>
        <w:t>FAQs</w:t>
      </w:r>
    </w:p>
    <w:p w:rsidR="00DE2E43" w:rsidRDefault="00DE2E43">
      <w:pPr>
        <w:spacing w:line="240" w:lineRule="auto"/>
        <w:rPr>
          <w:color w:val="2B8389"/>
        </w:rPr>
      </w:pPr>
    </w:p>
    <w:p w:rsidR="00DE2E43" w:rsidRDefault="00DE2E43">
      <w:pPr>
        <w:spacing w:line="240" w:lineRule="auto"/>
      </w:pPr>
    </w:p>
    <w:p w:rsidR="00DE2E43" w:rsidRDefault="00E905C1">
      <w:pPr>
        <w:spacing w:line="240" w:lineRule="auto"/>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-28574</wp:posOffset>
                </wp:positionH>
                <wp:positionV relativeFrom="paragraph">
                  <wp:posOffset>9525</wp:posOffset>
                </wp:positionV>
                <wp:extent cx="5694680" cy="294640"/>
                <wp:effectExtent l="25400" t="25400" r="25400" b="25400"/>
                <wp:wrapNone/>
                <wp:docPr id="199" name="Rectangle 199"/>
                <wp:cNvGraphicFramePr/>
                <a:graphic xmlns:a="http://schemas.openxmlformats.org/drawingml/2006/main">
                  <a:graphicData uri="http://schemas.microsoft.com/office/word/2010/wordprocessingShape">
                    <wps:wsp>
                      <wps:cNvSpPr/>
                      <wps:spPr>
                        <a:xfrm>
                          <a:off x="2503423" y="3637443"/>
                          <a:ext cx="5685155" cy="285115"/>
                        </a:xfrm>
                        <a:prstGeom prst="rect">
                          <a:avLst/>
                        </a:prstGeom>
                        <a:noFill/>
                        <a:ln w="9525" cap="flat" cmpd="sng">
                          <a:solidFill>
                            <a:srgbClr val="AC007F"/>
                          </a:solidFill>
                          <a:prstDash val="solid"/>
                          <a:miter lim="800000"/>
                          <a:headEnd type="none" w="sm" len="sm"/>
                          <a:tailEnd type="none" w="sm" len="sm"/>
                        </a:ln>
                      </wps:spPr>
                      <wps:txbx>
                        <w:txbxContent>
                          <w:p w:rsidR="00DE2E43" w:rsidRDefault="00E905C1">
                            <w:pPr>
                              <w:spacing w:line="275" w:lineRule="auto"/>
                              <w:textDirection w:val="btLr"/>
                            </w:pPr>
                            <w:r>
                              <w:rPr>
                                <w:b/>
                                <w:color w:val="595959"/>
                                <w:sz w:val="24"/>
                              </w:rPr>
                              <w:t xml:space="preserve">Frequently Asked Questions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-28574</wp:posOffset>
                </wp:positionH>
                <wp:positionV relativeFrom="paragraph">
                  <wp:posOffset>9525</wp:posOffset>
                </wp:positionV>
                <wp:extent cx="5694680" cy="294640"/>
                <wp:effectExtent b="25400" l="25400" r="25400" t="25400"/>
                <wp:wrapNone/>
                <wp:docPr id="19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5694680" cy="294640"/>
                        </a:xfrm>
                        <a:prstGeom prst="rect"/>
                        <a:ln w="25400">
                          <a:solidFill>
                            <a:srgbClr val="2B8389"/>
                          </a:solidFill>
                          <a:prstDash val="solid"/>
                        </a:ln>
                      </pic:spPr>
                    </pic:pic>
                  </a:graphicData>
                </a:graphic>
              </wp:anchor>
            </w:drawing>
          </mc:Fallback>
        </mc:AlternateContent>
      </w:r>
    </w:p>
    <w:p w:rsidR="00DE2E43" w:rsidRDefault="00DE2E43">
      <w:pPr>
        <w:spacing w:line="240" w:lineRule="auto"/>
      </w:pPr>
    </w:p>
    <w:p w:rsidR="00DE2E43" w:rsidRDefault="00DE2E43">
      <w:pPr>
        <w:spacing w:line="240" w:lineRule="auto"/>
        <w:rPr>
          <w:b/>
        </w:rPr>
      </w:pPr>
    </w:p>
    <w:p w:rsidR="00DE2E43" w:rsidRDefault="00E905C1">
      <w:pPr>
        <w:spacing w:after="120" w:line="240" w:lineRule="auto"/>
        <w:rPr>
          <w:b/>
        </w:rPr>
      </w:pPr>
      <w:r>
        <w:rPr>
          <w:b/>
        </w:rPr>
        <w:t xml:space="preserve">What is In Safe Hands? </w:t>
      </w:r>
    </w:p>
    <w:p w:rsidR="00DE2E43" w:rsidRDefault="00E905C1">
      <w:pPr>
        <w:widowControl/>
        <w:spacing w:line="240" w:lineRule="auto"/>
      </w:pPr>
      <w:r>
        <w:t xml:space="preserve">AVA and partners have been funded by the Department for Culture, Media and Sport through the Tampon Tax fund to build and test a trauma informed kite mark for specialist VAWG services. </w:t>
      </w:r>
    </w:p>
    <w:p w:rsidR="00DE2E43" w:rsidRDefault="00DE2E43">
      <w:pPr>
        <w:widowControl/>
        <w:spacing w:line="240" w:lineRule="auto"/>
      </w:pPr>
    </w:p>
    <w:p w:rsidR="00DE2E43" w:rsidRDefault="00E905C1">
      <w:pPr>
        <w:spacing w:after="120" w:line="240" w:lineRule="auto"/>
        <w:rPr>
          <w:b/>
        </w:rPr>
      </w:pPr>
      <w:r>
        <w:rPr>
          <w:b/>
        </w:rPr>
        <w:t>How long is the project funded?</w:t>
      </w:r>
    </w:p>
    <w:p w:rsidR="00DE2E43" w:rsidRDefault="00E905C1">
      <w:pPr>
        <w:spacing w:line="240" w:lineRule="auto"/>
      </w:pPr>
      <w:r>
        <w:t>We start in January ‘22 and run until</w:t>
      </w:r>
      <w:r>
        <w:t xml:space="preserve"> 21st March 2023.</w:t>
      </w:r>
    </w:p>
    <w:p w:rsidR="00DE2E43" w:rsidRDefault="00DE2E43">
      <w:pPr>
        <w:spacing w:line="240" w:lineRule="auto"/>
      </w:pPr>
    </w:p>
    <w:p w:rsidR="00DE2E43" w:rsidRDefault="00E905C1">
      <w:pPr>
        <w:spacing w:line="240" w:lineRule="auto"/>
        <w:rPr>
          <w:b/>
        </w:rPr>
      </w:pPr>
      <w:r>
        <w:rPr>
          <w:b/>
        </w:rPr>
        <w:t>Where can pilot sites work?</w:t>
      </w:r>
    </w:p>
    <w:p w:rsidR="00DE2E43" w:rsidRDefault="00E905C1">
      <w:pPr>
        <w:spacing w:line="240" w:lineRule="auto"/>
      </w:pPr>
      <w:r>
        <w:t xml:space="preserve">Grants are invited from organisations across England.   </w:t>
      </w:r>
    </w:p>
    <w:p w:rsidR="00DE2E43" w:rsidRDefault="00DE2E43">
      <w:pPr>
        <w:spacing w:line="240" w:lineRule="auto"/>
        <w:rPr>
          <w:b/>
        </w:rPr>
      </w:pPr>
    </w:p>
    <w:p w:rsidR="00DE2E43" w:rsidRDefault="00E905C1">
      <w:pPr>
        <w:spacing w:after="120" w:line="240" w:lineRule="auto"/>
        <w:rPr>
          <w:b/>
        </w:rPr>
      </w:pPr>
      <w:r>
        <w:rPr>
          <w:b/>
        </w:rPr>
        <w:t xml:space="preserve">Who are the steering group for this work? </w:t>
      </w:r>
    </w:p>
    <w:p w:rsidR="00DE2E43" w:rsidRDefault="00E905C1">
      <w:pPr>
        <w:spacing w:line="240" w:lineRule="auto"/>
      </w:pPr>
      <w:r>
        <w:t xml:space="preserve">There are six project partners, </w:t>
      </w:r>
      <w:hyperlink r:id="rId10">
        <w:r>
          <w:rPr>
            <w:color w:val="1155CC"/>
            <w:u w:val="single"/>
          </w:rPr>
          <w:t>West Mercia Women’s Aid</w:t>
        </w:r>
      </w:hyperlink>
      <w:r>
        <w:t xml:space="preserve">, </w:t>
      </w:r>
      <w:hyperlink r:id="rId11">
        <w:r>
          <w:rPr>
            <w:color w:val="1155CC"/>
            <w:u w:val="single"/>
          </w:rPr>
          <w:t>Suffolk Rape Crisis</w:t>
        </w:r>
      </w:hyperlink>
      <w:r>
        <w:t xml:space="preserve">, </w:t>
      </w:r>
      <w:hyperlink r:id="rId12">
        <w:proofErr w:type="spellStart"/>
        <w:r>
          <w:rPr>
            <w:color w:val="1155CC"/>
            <w:u w:val="single"/>
          </w:rPr>
          <w:t>Chyan</w:t>
        </w:r>
        <w:proofErr w:type="spellEnd"/>
      </w:hyperlink>
      <w:r>
        <w:t xml:space="preserve">, </w:t>
      </w:r>
      <w:hyperlink r:id="rId13">
        <w:r>
          <w:rPr>
            <w:color w:val="1155CC"/>
            <w:u w:val="single"/>
          </w:rPr>
          <w:t>One25</w:t>
        </w:r>
      </w:hyperlink>
      <w:r>
        <w:t xml:space="preserve">, </w:t>
      </w:r>
      <w:hyperlink r:id="rId14">
        <w:proofErr w:type="spellStart"/>
        <w:r>
          <w:rPr>
            <w:color w:val="1155CC"/>
            <w:u w:val="single"/>
          </w:rPr>
          <w:t>Icena</w:t>
        </w:r>
        <w:proofErr w:type="spellEnd"/>
      </w:hyperlink>
      <w:r>
        <w:t xml:space="preserve">, </w:t>
      </w:r>
      <w:hyperlink r:id="rId15">
        <w:r>
          <w:rPr>
            <w:color w:val="1155CC"/>
            <w:u w:val="single"/>
          </w:rPr>
          <w:t>Women’s Aid Federation of Northern Ireland</w:t>
        </w:r>
      </w:hyperlink>
      <w:r>
        <w:t xml:space="preserve">, who will contribute their extensive knowledge, experience and expertise to this project and will provide direct support to successful pathfinder sites. </w:t>
      </w:r>
    </w:p>
    <w:p w:rsidR="00DE2E43" w:rsidRDefault="00DE2E43">
      <w:pPr>
        <w:spacing w:line="240" w:lineRule="auto"/>
      </w:pPr>
    </w:p>
    <w:p w:rsidR="00DE2E43" w:rsidRDefault="00E905C1">
      <w:pPr>
        <w:spacing w:line="240" w:lineRule="auto"/>
        <w:rPr>
          <w:b/>
        </w:rPr>
      </w:pPr>
      <w:r>
        <w:rPr>
          <w:b/>
        </w:rPr>
        <w:t>What will the grants provide?</w:t>
      </w:r>
    </w:p>
    <w:p w:rsidR="00DE2E43" w:rsidRDefault="00E905C1">
      <w:pPr>
        <w:spacing w:line="240" w:lineRule="auto"/>
      </w:pPr>
      <w:r>
        <w:t xml:space="preserve">Grants are being provide to five independent VAWG specialist services </w:t>
      </w:r>
      <w:r>
        <w:t>to trial and feedback on the tools developed for the kite mark. Grant holders will be required to work intensively with our evaluation partner to evaluate the impact of the tools/training/approach on their staff and service beneficiaries. Grant holders sho</w:t>
      </w:r>
      <w:r>
        <w:t xml:space="preserve">uld also note AVA and her partners commitment to co-production and the use of Experts by Experience in delivery, development and evaluation. </w:t>
      </w:r>
    </w:p>
    <w:p w:rsidR="00DE2E43" w:rsidRDefault="00DE2E43">
      <w:pPr>
        <w:widowControl/>
        <w:spacing w:line="240" w:lineRule="auto"/>
        <w:rPr>
          <w:b/>
        </w:rPr>
      </w:pPr>
    </w:p>
    <w:p w:rsidR="00DE2E43" w:rsidRDefault="00E905C1">
      <w:pPr>
        <w:spacing w:after="120" w:line="240" w:lineRule="auto"/>
        <w:rPr>
          <w:b/>
        </w:rPr>
      </w:pPr>
      <w:r>
        <w:rPr>
          <w:b/>
        </w:rPr>
        <w:t xml:space="preserve">What kind of services are you looking to fund? </w:t>
      </w:r>
    </w:p>
    <w:p w:rsidR="00DE2E43" w:rsidRDefault="00E905C1">
      <w:pPr>
        <w:widowControl/>
        <w:spacing w:line="240" w:lineRule="auto"/>
      </w:pPr>
      <w:r>
        <w:t>We are looking for services who can demonstrate a strategic commi</w:t>
      </w:r>
      <w:r>
        <w:t>tment to trauma informed practice. We are looking for capacity to test, feedback and evaluate resources and a creative and solution focused approach. Grant holders will be required to work in a safe and respectful way with our network of Experts by Experie</w:t>
      </w:r>
      <w:r>
        <w:t xml:space="preserve">nce. </w:t>
      </w:r>
    </w:p>
    <w:p w:rsidR="00DE2E43" w:rsidRDefault="00DE2E43">
      <w:pPr>
        <w:widowControl/>
        <w:spacing w:line="240" w:lineRule="auto"/>
      </w:pPr>
    </w:p>
    <w:p w:rsidR="00DE2E43" w:rsidRDefault="00E905C1">
      <w:pPr>
        <w:widowControl/>
        <w:spacing w:line="240" w:lineRule="auto"/>
      </w:pPr>
      <w:r>
        <w:t xml:space="preserve">We need to make sure that we are not duplicating resources, we will ask groups to declare any match funding during the application process.  </w:t>
      </w:r>
    </w:p>
    <w:p w:rsidR="00DE2E43" w:rsidRDefault="00DE2E43">
      <w:pPr>
        <w:widowControl/>
        <w:spacing w:line="240" w:lineRule="auto"/>
      </w:pPr>
    </w:p>
    <w:p w:rsidR="00DE2E43" w:rsidRDefault="00E905C1">
      <w:pPr>
        <w:widowControl/>
        <w:spacing w:line="240" w:lineRule="auto"/>
      </w:pPr>
      <w:r>
        <w:t>Across the grant making we will look to ensure our resources are suitable for survivors who have a range o</w:t>
      </w:r>
      <w:r>
        <w:t xml:space="preserve">f lived experience and protected characteristics including Black and Minoritised women, LGBTQ survivors, disabled women, we are interested in testing the approach with services designed for children and young people. </w:t>
      </w:r>
    </w:p>
    <w:p w:rsidR="00DE2E43" w:rsidRDefault="00DE2E43">
      <w:pPr>
        <w:spacing w:line="240" w:lineRule="auto"/>
        <w:rPr>
          <w:highlight w:val="yellow"/>
        </w:rPr>
      </w:pPr>
    </w:p>
    <w:p w:rsidR="00DE2E43" w:rsidRDefault="00DE2E43">
      <w:pPr>
        <w:spacing w:line="240" w:lineRule="auto"/>
        <w:rPr>
          <w:b/>
        </w:rPr>
      </w:pPr>
    </w:p>
    <w:p w:rsidR="00DE2E43" w:rsidRDefault="00E905C1">
      <w:pPr>
        <w:spacing w:after="120" w:line="240" w:lineRule="auto"/>
        <w:rPr>
          <w:b/>
        </w:rPr>
      </w:pPr>
      <w:r>
        <w:rPr>
          <w:b/>
        </w:rPr>
        <w:t>How much funding will successful pil</w:t>
      </w:r>
      <w:r>
        <w:rPr>
          <w:b/>
        </w:rPr>
        <w:t>ot organisations receive?</w:t>
      </w:r>
    </w:p>
    <w:p w:rsidR="00DE2E43" w:rsidRDefault="00E905C1">
      <w:pPr>
        <w:spacing w:line="240" w:lineRule="auto"/>
      </w:pPr>
      <w:r>
        <w:lastRenderedPageBreak/>
        <w:t>We will make an unrestricted grant of £20,000 to support organisations to work alongside the steering group to implement and learn. At the end of the programme we anticipate that eligible grant holders will be provided with the ki</w:t>
      </w:r>
      <w:r>
        <w:t xml:space="preserve">te mark with a licence for use for three years.  Grants must not constitute more than 50% of an organisation’s annual income. </w:t>
      </w:r>
    </w:p>
    <w:p w:rsidR="00DE2E43" w:rsidRDefault="00DE2E43">
      <w:pPr>
        <w:spacing w:line="240" w:lineRule="auto"/>
        <w:rPr>
          <w:b/>
        </w:rPr>
      </w:pPr>
    </w:p>
    <w:p w:rsidR="00DE2E43" w:rsidRDefault="00E905C1">
      <w:pPr>
        <w:spacing w:after="120" w:line="240" w:lineRule="auto"/>
        <w:rPr>
          <w:b/>
        </w:rPr>
      </w:pPr>
      <w:r>
        <w:rPr>
          <w:b/>
        </w:rPr>
        <w:t xml:space="preserve">How are applications submitted? </w:t>
      </w:r>
    </w:p>
    <w:p w:rsidR="00DE2E43" w:rsidRDefault="00E905C1">
      <w:pPr>
        <w:spacing w:line="240" w:lineRule="auto"/>
      </w:pPr>
      <w:r>
        <w:t xml:space="preserve">All applications need to be received by </w:t>
      </w:r>
      <w:hyperlink r:id="rId16">
        <w:r>
          <w:rPr>
            <w:color w:val="1155CC"/>
            <w:u w:val="single"/>
          </w:rPr>
          <w:t xml:space="preserve">Maria </w:t>
        </w:r>
        <w:proofErr w:type="spellStart"/>
        <w:r>
          <w:rPr>
            <w:color w:val="1155CC"/>
            <w:u w:val="single"/>
          </w:rPr>
          <w:t>Dardagan</w:t>
        </w:r>
        <w:proofErr w:type="spellEnd"/>
      </w:hyperlink>
      <w:r>
        <w:t xml:space="preserve"> by the </w:t>
      </w:r>
      <w:r w:rsidR="005B5816">
        <w:t>3</w:t>
      </w:r>
      <w:r>
        <w:t>1</w:t>
      </w:r>
      <w:r w:rsidRPr="005B5816">
        <w:rPr>
          <w:vertAlign w:val="superscript"/>
        </w:rPr>
        <w:t>s</w:t>
      </w:r>
      <w:r w:rsidRPr="005B5816">
        <w:rPr>
          <w:vertAlign w:val="superscript"/>
        </w:rPr>
        <w:t>t</w:t>
      </w:r>
      <w:r w:rsidR="005B5816">
        <w:t xml:space="preserve"> </w:t>
      </w:r>
      <w:r>
        <w:t>of March 202</w:t>
      </w:r>
      <w:r w:rsidR="005B5816">
        <w:t>2</w:t>
      </w:r>
      <w:r>
        <w:t>.</w:t>
      </w:r>
    </w:p>
    <w:p w:rsidR="00DE2E43" w:rsidRDefault="00DE2E43">
      <w:pPr>
        <w:spacing w:line="240" w:lineRule="auto"/>
      </w:pPr>
    </w:p>
    <w:p w:rsidR="00DE2E43" w:rsidRDefault="00E905C1">
      <w:pPr>
        <w:spacing w:line="240" w:lineRule="auto"/>
      </w:pPr>
      <w:r>
        <w:t xml:space="preserve">We are only able to accept applications on our dedicated form. </w:t>
      </w:r>
    </w:p>
    <w:p w:rsidR="00DE2E43" w:rsidRDefault="00DE2E43">
      <w:pPr>
        <w:spacing w:after="120" w:line="240" w:lineRule="auto"/>
      </w:pPr>
    </w:p>
    <w:p w:rsidR="00DE2E43" w:rsidRDefault="00E905C1">
      <w:pPr>
        <w:spacing w:after="120" w:line="240" w:lineRule="auto"/>
        <w:rPr>
          <w:b/>
        </w:rPr>
      </w:pPr>
      <w:r>
        <w:rPr>
          <w:b/>
        </w:rPr>
        <w:t xml:space="preserve">When is the deadline for applications? </w:t>
      </w:r>
    </w:p>
    <w:p w:rsidR="00DE2E43" w:rsidRDefault="00E905C1">
      <w:r>
        <w:t xml:space="preserve">The deadline for submission </w:t>
      </w:r>
      <w:r w:rsidR="005B5816">
        <w:t>3</w:t>
      </w:r>
      <w:r>
        <w:t>1</w:t>
      </w:r>
      <w:r w:rsidRPr="005B5816">
        <w:rPr>
          <w:vertAlign w:val="superscript"/>
        </w:rPr>
        <w:t>st</w:t>
      </w:r>
      <w:r w:rsidR="005B5816">
        <w:t xml:space="preserve"> </w:t>
      </w:r>
      <w:r>
        <w:t>March 202</w:t>
      </w:r>
      <w:r w:rsidR="005B5816">
        <w:t>2</w:t>
      </w:r>
      <w:bookmarkStart w:id="0" w:name="_GoBack"/>
      <w:bookmarkEnd w:id="0"/>
      <w:r>
        <w:t>.</w:t>
      </w:r>
    </w:p>
    <w:p w:rsidR="00DE2E43" w:rsidRDefault="00DE2E43">
      <w:pPr>
        <w:rPr>
          <w:b/>
        </w:rPr>
      </w:pPr>
    </w:p>
    <w:p w:rsidR="00DE2E43" w:rsidRDefault="00E905C1">
      <w:pPr>
        <w:spacing w:after="120" w:line="240" w:lineRule="auto"/>
        <w:rPr>
          <w:b/>
        </w:rPr>
      </w:pPr>
      <w:bookmarkStart w:id="1" w:name="_heading=h.gjdgxs" w:colFirst="0" w:colLast="0"/>
      <w:bookmarkEnd w:id="1"/>
      <w:r>
        <w:rPr>
          <w:b/>
        </w:rPr>
        <w:t>When will a decision be made?</w:t>
      </w:r>
    </w:p>
    <w:p w:rsidR="00DE2E43" w:rsidRDefault="00E905C1">
      <w:r>
        <w:t xml:space="preserve">Applications will be shortlisted by AVA and eligible ones </w:t>
      </w:r>
      <w:r>
        <w:t>will be reviewed by the March steering group. Organisations should be prepared for a short telephone call to support due diligence and enable space for follow up questions. A final recommendation will be signed off by the steering group</w:t>
      </w:r>
      <w:r w:rsidR="005B5816">
        <w:t xml:space="preserve"> early April</w:t>
      </w:r>
      <w:r>
        <w:t xml:space="preserve">. </w:t>
      </w:r>
    </w:p>
    <w:p w:rsidR="00DE2E43" w:rsidRDefault="00DE2E43">
      <w:pPr>
        <w:spacing w:line="240" w:lineRule="auto"/>
      </w:pPr>
    </w:p>
    <w:p w:rsidR="00DE2E43" w:rsidRDefault="00E905C1">
      <w:pPr>
        <w:spacing w:line="240" w:lineRule="auto"/>
        <w:rPr>
          <w:b/>
        </w:rPr>
      </w:pPr>
      <w:r>
        <w:rPr>
          <w:b/>
        </w:rPr>
        <w:t>What if I have a question that has not been answered?</w:t>
      </w:r>
    </w:p>
    <w:p w:rsidR="00DE2E43" w:rsidRDefault="00E905C1">
      <w:pPr>
        <w:spacing w:line="240" w:lineRule="auto"/>
      </w:pPr>
      <w:r>
        <w:t xml:space="preserve">If you have any further queries please contact Samar </w:t>
      </w:r>
      <w:proofErr w:type="spellStart"/>
      <w:r>
        <w:t>Hesh</w:t>
      </w:r>
      <w:proofErr w:type="spellEnd"/>
      <w:r>
        <w:t xml:space="preserve"> Toubia </w:t>
      </w:r>
      <w:hyperlink r:id="rId17">
        <w:r>
          <w:rPr>
            <w:color w:val="1155CC"/>
            <w:u w:val="single"/>
          </w:rPr>
          <w:t>Samar.Hesh-Toubia@avaproject.org.uk</w:t>
        </w:r>
      </w:hyperlink>
      <w:r>
        <w:t xml:space="preserve"> </w:t>
      </w:r>
    </w:p>
    <w:p w:rsidR="00DE2E43" w:rsidRDefault="00DE2E43">
      <w:pPr>
        <w:spacing w:line="240" w:lineRule="auto"/>
      </w:pPr>
    </w:p>
    <w:p w:rsidR="00DE2E43" w:rsidRDefault="00DE2E43">
      <w:pPr>
        <w:spacing w:line="240" w:lineRule="auto"/>
        <w:jc w:val="both"/>
      </w:pPr>
    </w:p>
    <w:p w:rsidR="00DE2E43" w:rsidRDefault="00DE2E43">
      <w:pPr>
        <w:spacing w:line="240" w:lineRule="auto"/>
        <w:rPr>
          <w:b/>
        </w:rPr>
      </w:pPr>
    </w:p>
    <w:p w:rsidR="00DE2E43" w:rsidRDefault="00DE2E43">
      <w:pPr>
        <w:spacing w:line="240" w:lineRule="auto"/>
        <w:rPr>
          <w:b/>
        </w:rPr>
      </w:pPr>
    </w:p>
    <w:p w:rsidR="00DE2E43" w:rsidRDefault="00DE2E43">
      <w:pPr>
        <w:spacing w:line="240" w:lineRule="auto"/>
        <w:jc w:val="both"/>
      </w:pPr>
    </w:p>
    <w:p w:rsidR="00DE2E43" w:rsidRDefault="00DE2E43">
      <w:pPr>
        <w:spacing w:line="240" w:lineRule="auto"/>
        <w:jc w:val="both"/>
      </w:pPr>
    </w:p>
    <w:p w:rsidR="00DE2E43" w:rsidRDefault="00DE2E43">
      <w:pPr>
        <w:rPr>
          <w:i/>
        </w:rPr>
      </w:pPr>
    </w:p>
    <w:sectPr w:rsidR="00DE2E43">
      <w:footerReference w:type="default" r:id="rId18"/>
      <w:pgSz w:w="11906" w:h="16838"/>
      <w:pgMar w:top="108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C1" w:rsidRDefault="00E905C1">
      <w:pPr>
        <w:spacing w:line="240" w:lineRule="auto"/>
      </w:pPr>
      <w:r>
        <w:separator/>
      </w:r>
    </w:p>
  </w:endnote>
  <w:endnote w:type="continuationSeparator" w:id="0">
    <w:p w:rsidR="00E905C1" w:rsidRDefault="00E9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43" w:rsidRDefault="00E905C1">
    <w:pPr>
      <w:tabs>
        <w:tab w:val="center" w:pos="4513"/>
        <w:tab w:val="right" w:pos="9026"/>
      </w:tabs>
      <w:spacing w:line="240" w:lineRule="auto"/>
    </w:pPr>
    <w:r>
      <w:rPr>
        <w:noProof/>
      </w:rPr>
      <w:drawing>
        <wp:anchor distT="114300" distB="114300" distL="114300" distR="114300" simplePos="0" relativeHeight="251658240" behindDoc="0" locked="0" layoutInCell="1" hidden="0" allowOverlap="1">
          <wp:simplePos x="0" y="0"/>
          <wp:positionH relativeFrom="column">
            <wp:posOffset>2962275</wp:posOffset>
          </wp:positionH>
          <wp:positionV relativeFrom="paragraph">
            <wp:posOffset>-128774</wp:posOffset>
          </wp:positionV>
          <wp:extent cx="1043939" cy="360233"/>
          <wp:effectExtent l="0" t="0" r="0" b="0"/>
          <wp:wrapNone/>
          <wp:docPr id="20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43939" cy="36023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4105275</wp:posOffset>
          </wp:positionH>
          <wp:positionV relativeFrom="paragraph">
            <wp:posOffset>-124012</wp:posOffset>
          </wp:positionV>
          <wp:extent cx="1168918" cy="360233"/>
          <wp:effectExtent l="0" t="0" r="0" b="0"/>
          <wp:wrapNone/>
          <wp:docPr id="2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68918" cy="36023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1857375</wp:posOffset>
          </wp:positionH>
          <wp:positionV relativeFrom="paragraph">
            <wp:posOffset>-128774</wp:posOffset>
          </wp:positionV>
          <wp:extent cx="1012708" cy="388808"/>
          <wp:effectExtent l="0" t="0" r="0" b="0"/>
          <wp:wrapNone/>
          <wp:docPr id="20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12708" cy="388808"/>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514350</wp:posOffset>
          </wp:positionH>
          <wp:positionV relativeFrom="paragraph">
            <wp:posOffset>-171637</wp:posOffset>
          </wp:positionV>
          <wp:extent cx="811484" cy="465008"/>
          <wp:effectExtent l="0" t="0" r="0" b="0"/>
          <wp:wrapNone/>
          <wp:docPr id="20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811484" cy="465008"/>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-323849</wp:posOffset>
          </wp:positionH>
          <wp:positionV relativeFrom="paragraph">
            <wp:posOffset>-176399</wp:posOffset>
          </wp:positionV>
          <wp:extent cx="756101" cy="455483"/>
          <wp:effectExtent l="0" t="0" r="0" b="0"/>
          <wp:wrapNone/>
          <wp:docPr id="2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56101" cy="455483"/>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5324475</wp:posOffset>
          </wp:positionH>
          <wp:positionV relativeFrom="paragraph">
            <wp:posOffset>-166874</wp:posOffset>
          </wp:positionV>
          <wp:extent cx="880745" cy="436245"/>
          <wp:effectExtent l="0" t="0" r="0" b="0"/>
          <wp:wrapNone/>
          <wp:docPr id="203" name="image3.jpg" descr="https://thelondonvawgconsortium.org.uk/wp-content/uploads/2013/07/avalogo_rgb-1-300x149.jpg"/>
          <wp:cNvGraphicFramePr/>
          <a:graphic xmlns:a="http://schemas.openxmlformats.org/drawingml/2006/main">
            <a:graphicData uri="http://schemas.openxmlformats.org/drawingml/2006/picture">
              <pic:pic xmlns:pic="http://schemas.openxmlformats.org/drawingml/2006/picture">
                <pic:nvPicPr>
                  <pic:cNvPr id="0" name="image3.jpg" descr="https://thelondonvawgconsortium.org.uk/wp-content/uploads/2013/07/avalogo_rgb-1-300x149.jpg"/>
                  <pic:cNvPicPr preferRelativeResize="0"/>
                </pic:nvPicPr>
                <pic:blipFill>
                  <a:blip r:embed="rId6"/>
                  <a:srcRect/>
                  <a:stretch>
                    <a:fillRect/>
                  </a:stretch>
                </pic:blipFill>
                <pic:spPr>
                  <a:xfrm>
                    <a:off x="0" y="0"/>
                    <a:ext cx="880745" cy="43624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simplePos x="0" y="0"/>
          <wp:positionH relativeFrom="column">
            <wp:posOffset>1323975</wp:posOffset>
          </wp:positionH>
          <wp:positionV relativeFrom="paragraph">
            <wp:posOffset>-176399</wp:posOffset>
          </wp:positionV>
          <wp:extent cx="530601" cy="484058"/>
          <wp:effectExtent l="0" t="0" r="0" b="0"/>
          <wp:wrapNone/>
          <wp:docPr id="20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30601" cy="48405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C1" w:rsidRDefault="00E905C1">
      <w:pPr>
        <w:spacing w:line="240" w:lineRule="auto"/>
      </w:pPr>
      <w:r>
        <w:separator/>
      </w:r>
    </w:p>
  </w:footnote>
  <w:footnote w:type="continuationSeparator" w:id="0">
    <w:p w:rsidR="00E905C1" w:rsidRDefault="00E905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43"/>
    <w:rsid w:val="005B5816"/>
    <w:rsid w:val="00DE2E43"/>
    <w:rsid w:val="00E9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8EA"/>
  <w15:docId w15:val="{E11746E1-6524-45DB-815E-FF9C531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2D1"/>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Numbered list,F5 List Paragraph,Dot pt,List Paragraph1,No Spacing1,List Paragraph Char Char Char,Indicator Text,Colorful List - Accent 11,Numbered Para 1,Bullet Points,MAIN CONTENT,List Paragraph2,Normal numbered,List Paragraph11"/>
    <w:basedOn w:val="Normal"/>
    <w:link w:val="ListParagraphChar"/>
    <w:uiPriority w:val="34"/>
    <w:qFormat/>
    <w:rsid w:val="0088384A"/>
    <w:pPr>
      <w:ind w:left="720"/>
      <w:contextualSpacing/>
    </w:pPr>
  </w:style>
  <w:style w:type="character" w:styleId="CommentReference">
    <w:name w:val="annotation reference"/>
    <w:basedOn w:val="DefaultParagraphFont"/>
    <w:uiPriority w:val="99"/>
    <w:semiHidden/>
    <w:unhideWhenUsed/>
    <w:rsid w:val="009470C0"/>
    <w:rPr>
      <w:sz w:val="16"/>
      <w:szCs w:val="16"/>
    </w:rPr>
  </w:style>
  <w:style w:type="paragraph" w:styleId="CommentText">
    <w:name w:val="annotation text"/>
    <w:basedOn w:val="Normal"/>
    <w:link w:val="CommentTextChar"/>
    <w:uiPriority w:val="99"/>
    <w:semiHidden/>
    <w:unhideWhenUsed/>
    <w:rsid w:val="009470C0"/>
    <w:pPr>
      <w:spacing w:line="240" w:lineRule="auto"/>
    </w:pPr>
    <w:rPr>
      <w:sz w:val="20"/>
      <w:szCs w:val="20"/>
    </w:rPr>
  </w:style>
  <w:style w:type="character" w:customStyle="1" w:styleId="CommentTextChar">
    <w:name w:val="Comment Text Char"/>
    <w:basedOn w:val="DefaultParagraphFont"/>
    <w:link w:val="CommentText"/>
    <w:uiPriority w:val="99"/>
    <w:semiHidden/>
    <w:rsid w:val="009470C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470C0"/>
    <w:rPr>
      <w:b/>
      <w:bCs/>
    </w:rPr>
  </w:style>
  <w:style w:type="character" w:customStyle="1" w:styleId="CommentSubjectChar">
    <w:name w:val="Comment Subject Char"/>
    <w:basedOn w:val="CommentTextChar"/>
    <w:link w:val="CommentSubject"/>
    <w:uiPriority w:val="99"/>
    <w:semiHidden/>
    <w:rsid w:val="009470C0"/>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470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C0"/>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885BED"/>
    <w:pPr>
      <w:tabs>
        <w:tab w:val="center" w:pos="4513"/>
        <w:tab w:val="right" w:pos="9026"/>
      </w:tabs>
      <w:spacing w:line="240" w:lineRule="auto"/>
    </w:pPr>
  </w:style>
  <w:style w:type="character" w:customStyle="1" w:styleId="HeaderChar">
    <w:name w:val="Header Char"/>
    <w:basedOn w:val="DefaultParagraphFont"/>
    <w:link w:val="Header"/>
    <w:uiPriority w:val="99"/>
    <w:rsid w:val="00885BED"/>
    <w:rPr>
      <w:rFonts w:ascii="Arial" w:eastAsia="Arial" w:hAnsi="Arial" w:cs="Arial"/>
      <w:color w:val="000000"/>
      <w:lang w:eastAsia="en-GB"/>
    </w:rPr>
  </w:style>
  <w:style w:type="paragraph" w:styleId="Footer">
    <w:name w:val="footer"/>
    <w:basedOn w:val="Normal"/>
    <w:link w:val="FooterChar"/>
    <w:uiPriority w:val="99"/>
    <w:unhideWhenUsed/>
    <w:rsid w:val="00885BED"/>
    <w:pPr>
      <w:tabs>
        <w:tab w:val="center" w:pos="4513"/>
        <w:tab w:val="right" w:pos="9026"/>
      </w:tabs>
      <w:spacing w:line="240" w:lineRule="auto"/>
    </w:pPr>
  </w:style>
  <w:style w:type="character" w:customStyle="1" w:styleId="FooterChar">
    <w:name w:val="Footer Char"/>
    <w:basedOn w:val="DefaultParagraphFont"/>
    <w:link w:val="Footer"/>
    <w:uiPriority w:val="99"/>
    <w:rsid w:val="00885BED"/>
    <w:rPr>
      <w:rFonts w:ascii="Arial" w:eastAsia="Arial" w:hAnsi="Arial" w:cs="Arial"/>
      <w:color w:val="000000"/>
      <w:lang w:eastAsia="en-GB"/>
    </w:rPr>
  </w:style>
  <w:style w:type="character" w:customStyle="1" w:styleId="ListParagraphChar">
    <w:name w:val="List Paragraph Char"/>
    <w:aliases w:val="Numbered list Char,F5 List Paragraph Char,Dot pt Char,List Paragraph1 Char,No Spacing1 Char,List Paragraph Char Char Char Char,Indicator Text Char,Colorful List - Accent 11 Char,Numbered Para 1 Char,Bullet Points Char"/>
    <w:basedOn w:val="DefaultParagraphFont"/>
    <w:link w:val="ListParagraph"/>
    <w:uiPriority w:val="34"/>
    <w:qFormat/>
    <w:rsid w:val="00D45691"/>
    <w:rPr>
      <w:rFonts w:ascii="Arial" w:eastAsia="Arial" w:hAnsi="Arial" w:cs="Arial"/>
      <w:color w:val="000000"/>
      <w:lang w:eastAsia="en-GB"/>
    </w:rPr>
  </w:style>
  <w:style w:type="character" w:styleId="Hyperlink">
    <w:name w:val="Hyperlink"/>
    <w:basedOn w:val="DefaultParagraphFont"/>
    <w:uiPriority w:val="99"/>
    <w:unhideWhenUsed/>
    <w:rsid w:val="00A353D3"/>
    <w:rPr>
      <w:color w:val="0563C1" w:themeColor="hyperlink"/>
      <w:u w:val="single"/>
    </w:rPr>
  </w:style>
  <w:style w:type="character" w:styleId="Mention">
    <w:name w:val="Mention"/>
    <w:basedOn w:val="DefaultParagraphFont"/>
    <w:uiPriority w:val="99"/>
    <w:semiHidden/>
    <w:unhideWhenUsed/>
    <w:rsid w:val="00A353D3"/>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kP2pU9QyWcL8KEXcV3WHSvIig==">AMUW2mU4GtmVNZDakC56wuFOL1p5zBWEl6BvM79mmmpJiiz1g05OTUGGS+ebf3mlly0SSspI5ByZ2dRnUvYiMlfaO3mSSyvuJBL3GhaOdBcMxaTxwy6LMJG5XIsiDnEXB+Wm+8iYH6DL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Against Violence and Abuse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Johnson</dc:creator>
  <cp:lastModifiedBy>AVAProject</cp:lastModifiedBy>
  <cp:revision>2</cp:revision>
  <dcterms:created xsi:type="dcterms:W3CDTF">2017-09-05T12:13:00Z</dcterms:created>
  <dcterms:modified xsi:type="dcterms:W3CDTF">2022-01-24T13:53:00Z</dcterms:modified>
</cp:coreProperties>
</file>